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法制建设</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海口市司法局</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海口市司法局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2021年4月19日</w:t>
      </w:r>
    </w:p>
    <w:p/>
    <w:p/>
    <w:p/>
    <w:p>
      <w:pPr>
        <w:tabs>
          <w:tab w:val="left" w:pos="720"/>
          <w:tab w:val="left" w:pos="3600"/>
        </w:tabs>
        <w:spacing w:line="578" w:lineRule="exact"/>
        <w:jc w:val="left"/>
        <w:rPr>
          <w:rFonts w:hint="eastAsia" w:hAnsi="仿宋_GB2312" w:cs="仿宋_GB2312"/>
          <w:b/>
          <w:bCs/>
          <w:szCs w:val="32"/>
        </w:rPr>
      </w:pPr>
    </w:p>
    <w:p>
      <w:pPr>
        <w:pStyle w:val="8"/>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p>
      <w:r>
        <w:rPr>
          <w:rFonts w:hint="eastAsia" w:ascii="宋体" w:hAnsi="宋体"/>
          <w:sz w:val="24"/>
          <w:szCs w:val="24"/>
        </w:rPr>
        <w:t xml:space="preserve">  </w:t>
      </w:r>
    </w:p>
    <w:tbl>
      <w:tblPr>
        <w:tblStyle w:val="6"/>
        <w:tblW w:w="7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034"/>
        <w:gridCol w:w="1895"/>
        <w:gridCol w:w="1933"/>
        <w:gridCol w:w="660"/>
        <w:gridCol w:w="473"/>
        <w:gridCol w:w="73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895"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933" w:type="dxa"/>
            <w:vMerge w:val="restart"/>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2702" w:type="dxa"/>
            <w:gridSpan w:val="4"/>
            <w:noWrap w:val="0"/>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1895"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1933" w:type="dxa"/>
            <w:vMerge w:val="continue"/>
            <w:noWrap w:val="0"/>
            <w:vAlign w:val="top"/>
          </w:tcPr>
          <w:p>
            <w:pPr>
              <w:tabs>
                <w:tab w:val="left" w:pos="720"/>
                <w:tab w:val="left" w:pos="3600"/>
              </w:tabs>
              <w:spacing w:line="578" w:lineRule="exact"/>
              <w:jc w:val="center"/>
              <w:rPr>
                <w:rFonts w:hint="eastAsia" w:ascii="宋体" w:hAnsi="宋体" w:eastAsia="宋体"/>
                <w:b/>
                <w:sz w:val="24"/>
              </w:rPr>
            </w:pPr>
          </w:p>
        </w:tc>
        <w:tc>
          <w:tcPr>
            <w:tcW w:w="660"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473"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735"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834" w:type="dxa"/>
            <w:noWrap w:val="0"/>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94" w:hRule="atLeast"/>
          <w:jc w:val="center"/>
        </w:trPr>
        <w:tc>
          <w:tcPr>
            <w:tcW w:w="1034" w:type="dxa"/>
            <w:vMerge w:val="restart"/>
            <w:noWrap w:val="0"/>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895" w:type="dxa"/>
            <w:noWrap w:val="0"/>
            <w:vAlign w:val="center"/>
          </w:tcPr>
          <w:p>
            <w:pPr>
              <w:tabs>
                <w:tab w:val="left" w:pos="720"/>
                <w:tab w:val="left" w:pos="3600"/>
              </w:tabs>
              <w:spacing w:line="578" w:lineRule="exact"/>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sz w:val="21"/>
                <w:szCs w:val="21"/>
                <w:lang w:eastAsia="zh-CN"/>
              </w:rPr>
              <w:t>出庭应诉</w:t>
            </w:r>
          </w:p>
        </w:tc>
        <w:tc>
          <w:tcPr>
            <w:tcW w:w="1933" w:type="dxa"/>
            <w:noWrap w:val="0"/>
            <w:vAlign w:val="top"/>
          </w:tcPr>
          <w:p>
            <w:pPr>
              <w:rPr>
                <w:rFonts w:hint="eastAsia" w:ascii="宋体" w:hAnsi="宋体" w:eastAsia="宋体"/>
                <w:sz w:val="18"/>
                <w:szCs w:val="18"/>
                <w:lang w:eastAsia="zh-CN"/>
              </w:rPr>
            </w:pPr>
            <w:r>
              <w:rPr>
                <w:rFonts w:hint="eastAsia" w:ascii="宋体" w:hAnsi="宋体" w:eastAsia="宋体" w:cs="宋体"/>
                <w:sz w:val="18"/>
                <w:szCs w:val="18"/>
              </w:rPr>
              <w:t>承办以市政府为当事人的案件和依据相关规定应承办的以市政府各部门为当事人的案件</w:t>
            </w:r>
          </w:p>
        </w:tc>
        <w:tc>
          <w:tcPr>
            <w:tcW w:w="660" w:type="dxa"/>
            <w:noWrap w:val="0"/>
            <w:vAlign w:val="top"/>
          </w:tcPr>
          <w:p>
            <w:pPr>
              <w:tabs>
                <w:tab w:val="left" w:pos="720"/>
                <w:tab w:val="left" w:pos="3600"/>
              </w:tabs>
              <w:spacing w:line="578" w:lineRule="exact"/>
              <w:jc w:val="center"/>
              <w:rPr>
                <w:rFonts w:hint="eastAsia" w:ascii="宋体" w:hAnsi="宋体" w:eastAsia="宋体"/>
                <w:sz w:val="24"/>
                <w:lang w:eastAsia="zh-CN"/>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895" w:type="dxa"/>
            <w:noWrap w:val="0"/>
            <w:vAlign w:val="center"/>
          </w:tcPr>
          <w:p>
            <w:pPr>
              <w:tabs>
                <w:tab w:val="left" w:pos="720"/>
                <w:tab w:val="left" w:pos="3600"/>
              </w:tabs>
              <w:spacing w:line="578" w:lineRule="exact"/>
              <w:jc w:val="left"/>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sz w:val="21"/>
                <w:szCs w:val="21"/>
                <w:lang w:eastAsia="zh-CN"/>
              </w:rPr>
              <w:t>法治政府建设</w:t>
            </w:r>
          </w:p>
        </w:tc>
        <w:tc>
          <w:tcPr>
            <w:tcW w:w="1933" w:type="dxa"/>
            <w:noWrap w:val="0"/>
            <w:vAlign w:val="top"/>
          </w:tcPr>
          <w:p>
            <w:pPr>
              <w:jc w:val="left"/>
              <w:rPr>
                <w:rFonts w:hint="eastAsia" w:ascii="宋体" w:hAnsi="宋体" w:eastAsia="宋体"/>
                <w:sz w:val="21"/>
                <w:szCs w:val="21"/>
                <w:lang w:eastAsia="zh-CN"/>
              </w:rPr>
            </w:pPr>
            <w:r>
              <w:rPr>
                <w:rFonts w:hint="eastAsia" w:ascii="宋体" w:hAnsi="宋体" w:eastAsia="宋体" w:cs="宋体"/>
                <w:sz w:val="21"/>
                <w:szCs w:val="21"/>
              </w:rPr>
              <w:t>统筹推进法治政府建设</w:t>
            </w:r>
          </w:p>
        </w:tc>
        <w:tc>
          <w:tcPr>
            <w:tcW w:w="660" w:type="dxa"/>
            <w:noWrap w:val="0"/>
            <w:vAlign w:val="top"/>
          </w:tcPr>
          <w:p>
            <w:pPr>
              <w:tabs>
                <w:tab w:val="left" w:pos="720"/>
                <w:tab w:val="left" w:pos="3600"/>
              </w:tabs>
              <w:spacing w:line="578" w:lineRule="exact"/>
              <w:jc w:val="distribute"/>
              <w:rPr>
                <w:rFonts w:hint="eastAsia" w:ascii="宋体" w:hAnsi="宋体" w:eastAsia="宋体"/>
                <w:sz w:val="21"/>
                <w:szCs w:val="20"/>
              </w:rPr>
            </w:pPr>
            <w:r>
              <w:rPr>
                <w:rFonts w:hint="eastAsia" w:ascii="宋体" w:hAnsi="宋体"/>
                <w:sz w:val="21"/>
                <w:szCs w:val="20"/>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02" w:hRule="atLeast"/>
          <w:jc w:val="center"/>
        </w:trPr>
        <w:tc>
          <w:tcPr>
            <w:tcW w:w="1034"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895" w:type="dxa"/>
            <w:noWrap w:val="0"/>
            <w:vAlign w:val="center"/>
          </w:tcPr>
          <w:p>
            <w:pPr>
              <w:tabs>
                <w:tab w:val="left" w:pos="720"/>
                <w:tab w:val="left" w:pos="3600"/>
              </w:tabs>
              <w:spacing w:line="578" w:lineRule="exact"/>
              <w:jc w:val="center"/>
              <w:rPr>
                <w:rFonts w:hint="eastAsia" w:ascii="宋体" w:hAnsi="宋体" w:eastAsia="宋体"/>
                <w:sz w:val="21"/>
                <w:szCs w:val="21"/>
                <w:lang w:eastAsia="zh-CN"/>
              </w:rPr>
            </w:pPr>
            <w:r>
              <w:rPr>
                <w:rFonts w:hint="eastAsia" w:ascii="宋体" w:hAnsi="宋体"/>
                <w:sz w:val="21"/>
                <w:szCs w:val="21"/>
                <w:lang w:eastAsia="zh-CN"/>
              </w:rPr>
              <w:t>行政复议</w:t>
            </w:r>
          </w:p>
        </w:tc>
        <w:tc>
          <w:tcPr>
            <w:tcW w:w="1933" w:type="dxa"/>
            <w:noWrap w:val="0"/>
            <w:vAlign w:val="top"/>
          </w:tcPr>
          <w:p>
            <w:pPr>
              <w:rPr>
                <w:rFonts w:hint="eastAsia" w:ascii="宋体" w:hAnsi="宋体" w:eastAsia="宋体"/>
                <w:sz w:val="21"/>
                <w:szCs w:val="21"/>
                <w:lang w:eastAsia="zh-CN"/>
              </w:rPr>
            </w:pPr>
            <w:r>
              <w:rPr>
                <w:rFonts w:hint="eastAsia" w:ascii="宋体" w:hAnsi="宋体" w:eastAsia="宋体" w:cs="宋体"/>
                <w:sz w:val="21"/>
                <w:szCs w:val="21"/>
              </w:rPr>
              <w:t>承办向市政府提出申请的行政复议案件</w:t>
            </w:r>
          </w:p>
        </w:tc>
        <w:tc>
          <w:tcPr>
            <w:tcW w:w="660" w:type="dxa"/>
            <w:noWrap w:val="0"/>
            <w:vAlign w:val="top"/>
          </w:tcPr>
          <w:p>
            <w:pPr>
              <w:tabs>
                <w:tab w:val="left" w:pos="720"/>
                <w:tab w:val="left" w:pos="3600"/>
              </w:tabs>
              <w:spacing w:line="578" w:lineRule="exact"/>
              <w:ind w:firstLine="240" w:firstLineChars="100"/>
              <w:jc w:val="both"/>
              <w:rPr>
                <w:rFonts w:hint="eastAsia" w:ascii="宋体" w:hAnsi="宋体"/>
                <w:sz w:val="24"/>
                <w:lang w:eastAsia="zh-CN"/>
              </w:rPr>
            </w:pPr>
          </w:p>
          <w:p>
            <w:pPr>
              <w:tabs>
                <w:tab w:val="left" w:pos="720"/>
                <w:tab w:val="left" w:pos="3600"/>
              </w:tabs>
              <w:spacing w:line="578" w:lineRule="exact"/>
              <w:ind w:firstLine="240" w:firstLineChars="100"/>
              <w:jc w:val="both"/>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restart"/>
            <w:noWrap w:val="0"/>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895" w:type="dxa"/>
            <w:noWrap w:val="0"/>
            <w:vAlign w:val="center"/>
          </w:tcPr>
          <w:p>
            <w:pPr>
              <w:tabs>
                <w:tab w:val="left" w:pos="720"/>
                <w:tab w:val="left" w:pos="3600"/>
              </w:tabs>
              <w:spacing w:line="578" w:lineRule="exact"/>
              <w:jc w:val="left"/>
              <w:rPr>
                <w:rFonts w:hint="eastAsia" w:ascii="宋体" w:hAnsi="宋体" w:eastAsia="宋体"/>
                <w:sz w:val="21"/>
                <w:szCs w:val="21"/>
                <w:lang w:eastAsia="zh-CN"/>
              </w:rPr>
            </w:pPr>
            <w:r>
              <w:rPr>
                <w:rFonts w:hint="eastAsia" w:ascii="宋体" w:hAnsi="宋体"/>
                <w:sz w:val="21"/>
                <w:szCs w:val="21"/>
                <w:lang w:eastAsia="zh-CN"/>
              </w:rPr>
              <w:t>化解行政争议</w:t>
            </w:r>
          </w:p>
        </w:tc>
        <w:tc>
          <w:tcPr>
            <w:tcW w:w="1933" w:type="dxa"/>
            <w:noWrap w:val="0"/>
            <w:vAlign w:val="top"/>
          </w:tcPr>
          <w:p>
            <w:pPr>
              <w:rPr>
                <w:rFonts w:hint="default" w:ascii="宋体" w:hAnsi="宋体" w:eastAsia="宋体"/>
                <w:lang w:val="en-US" w:eastAsia="zh-CN"/>
              </w:rPr>
            </w:pPr>
            <w:r>
              <w:rPr>
                <w:rFonts w:hint="eastAsia"/>
                <w:lang w:eastAsia="zh-CN"/>
              </w:rPr>
              <w:t>出庭应诉率</w:t>
            </w:r>
            <w:r>
              <w:rPr>
                <w:rFonts w:hint="eastAsia"/>
                <w:lang w:val="en-US" w:eastAsia="zh-CN"/>
              </w:rPr>
              <w:t>100%</w:t>
            </w:r>
          </w:p>
        </w:tc>
        <w:tc>
          <w:tcPr>
            <w:tcW w:w="660" w:type="dxa"/>
            <w:noWrap w:val="0"/>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895" w:type="dxa"/>
            <w:noWrap w:val="0"/>
            <w:vAlign w:val="center"/>
          </w:tcPr>
          <w:p>
            <w:pPr>
              <w:tabs>
                <w:tab w:val="left" w:pos="720"/>
                <w:tab w:val="left" w:pos="3600"/>
              </w:tabs>
              <w:spacing w:line="578" w:lineRule="exact"/>
              <w:jc w:val="left"/>
              <w:rPr>
                <w:rFonts w:hint="eastAsia" w:ascii="宋体" w:hAnsi="宋体" w:eastAsia="宋体"/>
                <w:sz w:val="21"/>
                <w:szCs w:val="21"/>
                <w:lang w:eastAsia="zh-CN"/>
              </w:rPr>
            </w:pPr>
            <w:r>
              <w:rPr>
                <w:rFonts w:hint="eastAsia" w:ascii="宋体" w:hAnsi="宋体"/>
                <w:sz w:val="21"/>
                <w:szCs w:val="21"/>
                <w:lang w:eastAsia="zh-CN"/>
              </w:rPr>
              <w:t>维护政府合法权益</w:t>
            </w:r>
          </w:p>
        </w:tc>
        <w:tc>
          <w:tcPr>
            <w:tcW w:w="1933" w:type="dxa"/>
            <w:noWrap w:val="0"/>
            <w:vAlign w:val="top"/>
          </w:tcPr>
          <w:p>
            <w:pPr>
              <w:rPr>
                <w:rFonts w:hint="default" w:ascii="宋体" w:hAnsi="宋体" w:eastAsia="宋体"/>
                <w:lang w:val="en-US" w:eastAsia="zh-CN"/>
              </w:rPr>
            </w:pPr>
            <w:r>
              <w:rPr>
                <w:rFonts w:hint="eastAsia" w:ascii="宋体" w:hAnsi="宋体"/>
                <w:lang w:eastAsia="zh-CN"/>
              </w:rPr>
              <w:t>行政复议案件在法定期限内办结率</w:t>
            </w:r>
            <w:r>
              <w:rPr>
                <w:rFonts w:hint="eastAsia" w:ascii="宋体" w:hAnsi="宋体" w:eastAsia="宋体" w:cs="宋体"/>
                <w:lang w:eastAsia="zh-CN"/>
              </w:rPr>
              <w:t>≧</w:t>
            </w:r>
            <w:r>
              <w:rPr>
                <w:rFonts w:hint="eastAsia" w:ascii="宋体" w:hAnsi="宋体"/>
                <w:lang w:val="en-US" w:eastAsia="zh-CN"/>
              </w:rPr>
              <w:t>90%</w:t>
            </w:r>
          </w:p>
        </w:tc>
        <w:tc>
          <w:tcPr>
            <w:tcW w:w="660" w:type="dxa"/>
            <w:noWrap w:val="0"/>
            <w:vAlign w:val="top"/>
          </w:tcPr>
          <w:p>
            <w:pPr>
              <w:tabs>
                <w:tab w:val="left" w:pos="720"/>
                <w:tab w:val="left" w:pos="3600"/>
              </w:tabs>
              <w:spacing w:line="578" w:lineRule="exact"/>
              <w:jc w:val="center"/>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80" w:hRule="atLeast"/>
          <w:jc w:val="center"/>
        </w:trPr>
        <w:tc>
          <w:tcPr>
            <w:tcW w:w="1034" w:type="dxa"/>
            <w:vMerge w:val="continue"/>
            <w:noWrap w:val="0"/>
            <w:vAlign w:val="center"/>
          </w:tcPr>
          <w:p>
            <w:pPr>
              <w:tabs>
                <w:tab w:val="left" w:pos="720"/>
                <w:tab w:val="left" w:pos="3600"/>
              </w:tabs>
              <w:spacing w:line="578" w:lineRule="exact"/>
              <w:jc w:val="center"/>
              <w:rPr>
                <w:rFonts w:hint="eastAsia" w:ascii="宋体" w:hAnsi="宋体" w:eastAsia="宋体"/>
                <w:sz w:val="24"/>
              </w:rPr>
            </w:pPr>
          </w:p>
        </w:tc>
        <w:tc>
          <w:tcPr>
            <w:tcW w:w="1895" w:type="dxa"/>
            <w:noWrap w:val="0"/>
            <w:vAlign w:val="center"/>
          </w:tcPr>
          <w:p>
            <w:pPr>
              <w:tabs>
                <w:tab w:val="left" w:pos="720"/>
                <w:tab w:val="left" w:pos="3600"/>
              </w:tabs>
              <w:spacing w:line="578" w:lineRule="exact"/>
              <w:jc w:val="center"/>
              <w:rPr>
                <w:rFonts w:hint="eastAsia" w:ascii="宋体" w:hAnsi="宋体" w:eastAsia="宋体"/>
                <w:sz w:val="21"/>
                <w:szCs w:val="21"/>
                <w:lang w:eastAsia="zh-CN"/>
              </w:rPr>
            </w:pPr>
            <w:r>
              <w:rPr>
                <w:rFonts w:hint="eastAsia" w:ascii="宋体" w:hAnsi="宋体"/>
                <w:sz w:val="21"/>
                <w:szCs w:val="21"/>
                <w:lang w:eastAsia="zh-CN"/>
              </w:rPr>
              <w:t>维护政府合法权益</w:t>
            </w:r>
          </w:p>
        </w:tc>
        <w:tc>
          <w:tcPr>
            <w:tcW w:w="1933" w:type="dxa"/>
            <w:noWrap w:val="0"/>
            <w:vAlign w:val="top"/>
          </w:tcPr>
          <w:p>
            <w:pPr>
              <w:rPr>
                <w:rFonts w:hint="default" w:ascii="宋体" w:hAnsi="宋体" w:eastAsia="宋体"/>
                <w:lang w:val="en-US" w:eastAsia="zh-CN"/>
              </w:rPr>
            </w:pPr>
            <w:r>
              <w:rPr>
                <w:rFonts w:hint="eastAsia"/>
                <w:lang w:eastAsia="zh-CN"/>
              </w:rPr>
              <w:t>政府合同法律审核率、涉法</w:t>
            </w:r>
            <w:r>
              <w:rPr>
                <w:rFonts w:hint="eastAsia"/>
                <w:lang w:val="en-US" w:eastAsia="zh-CN"/>
              </w:rPr>
              <w:t xml:space="preserve"> 行政事务办结率100%</w:t>
            </w:r>
          </w:p>
        </w:tc>
        <w:tc>
          <w:tcPr>
            <w:tcW w:w="660" w:type="dxa"/>
            <w:noWrap w:val="0"/>
            <w:vAlign w:val="top"/>
          </w:tcPr>
          <w:p>
            <w:pPr>
              <w:tabs>
                <w:tab w:val="left" w:pos="720"/>
                <w:tab w:val="left" w:pos="3600"/>
              </w:tabs>
              <w:spacing w:line="578" w:lineRule="exact"/>
              <w:jc w:val="both"/>
              <w:rPr>
                <w:rFonts w:hint="eastAsia" w:ascii="宋体" w:hAnsi="宋体" w:eastAsia="宋体"/>
                <w:sz w:val="24"/>
              </w:rPr>
            </w:pPr>
            <w:r>
              <w:rPr>
                <w:rFonts w:hint="eastAsia" w:ascii="宋体" w:hAnsi="宋体"/>
                <w:sz w:val="24"/>
                <w:lang w:eastAsia="zh-CN"/>
              </w:rPr>
              <w:t>优</w:t>
            </w:r>
          </w:p>
        </w:tc>
        <w:tc>
          <w:tcPr>
            <w:tcW w:w="473" w:type="dxa"/>
            <w:noWrap w:val="0"/>
            <w:vAlign w:val="top"/>
          </w:tcPr>
          <w:p>
            <w:pPr>
              <w:tabs>
                <w:tab w:val="left" w:pos="720"/>
                <w:tab w:val="left" w:pos="3600"/>
              </w:tabs>
              <w:spacing w:line="578" w:lineRule="exact"/>
              <w:jc w:val="center"/>
              <w:rPr>
                <w:rFonts w:hint="eastAsia" w:ascii="宋体" w:hAnsi="宋体" w:eastAsia="宋体"/>
                <w:sz w:val="24"/>
              </w:rPr>
            </w:pPr>
          </w:p>
        </w:tc>
        <w:tc>
          <w:tcPr>
            <w:tcW w:w="735" w:type="dxa"/>
            <w:noWrap w:val="0"/>
            <w:vAlign w:val="top"/>
          </w:tcPr>
          <w:p>
            <w:pPr>
              <w:tabs>
                <w:tab w:val="left" w:pos="720"/>
                <w:tab w:val="left" w:pos="3600"/>
              </w:tabs>
              <w:spacing w:line="578" w:lineRule="exact"/>
              <w:jc w:val="center"/>
              <w:rPr>
                <w:rFonts w:hint="eastAsia" w:ascii="宋体" w:hAnsi="宋体" w:eastAsia="宋体"/>
                <w:sz w:val="24"/>
              </w:rPr>
            </w:pPr>
          </w:p>
        </w:tc>
        <w:tc>
          <w:tcPr>
            <w:tcW w:w="834" w:type="dxa"/>
            <w:noWrap w:val="0"/>
            <w:vAlign w:val="top"/>
          </w:tcPr>
          <w:p>
            <w:pPr>
              <w:tabs>
                <w:tab w:val="left" w:pos="720"/>
                <w:tab w:val="left" w:pos="3600"/>
              </w:tabs>
              <w:spacing w:line="578" w:lineRule="exact"/>
              <w:jc w:val="center"/>
              <w:rPr>
                <w:rFonts w:hint="eastAsia" w:ascii="宋体" w:hAnsi="宋体" w:eastAsia="宋体"/>
                <w:sz w:val="24"/>
              </w:rPr>
            </w:pPr>
          </w:p>
        </w:tc>
      </w:tr>
    </w:tbl>
    <w:p/>
    <w:p>
      <w:r>
        <w:rPr>
          <w:rFonts w:hint="eastAsia" w:ascii="宋体" w:hAnsi="宋体"/>
          <w:sz w:val="24"/>
          <w:szCs w:val="24"/>
        </w:rPr>
        <w:t xml:space="preserve"> 注：以预算批复的绩效目标为准填列</w:t>
      </w:r>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6"/>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1011"/>
        <w:gridCol w:w="151"/>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海口市司法局</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唐卫斌</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eastAsia="zh-CN"/>
              </w:rPr>
              <w:t>海口市秀英区长滨路市政府第二办公区</w:t>
            </w:r>
            <w:r>
              <w:rPr>
                <w:rFonts w:hint="eastAsia" w:ascii="宋体" w:hAnsi="宋体"/>
                <w:sz w:val="21"/>
                <w:szCs w:val="21"/>
                <w:lang w:val="en-US" w:eastAsia="zh-CN"/>
              </w:rPr>
              <w:t>16号楼</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w:t>
            </w:r>
            <w:r>
              <w:rPr>
                <w:rFonts w:hint="default" w:ascii="Arial" w:hAnsi="Arial" w:eastAsia="宋体" w:cs="Arial"/>
                <w:sz w:val="21"/>
                <w:szCs w:val="21"/>
              </w:rPr>
              <w:t>√</w:t>
            </w:r>
            <w:r>
              <w:rPr>
                <w:rFonts w:hint="eastAsia" w:ascii="宋体" w:hAnsi="宋体" w:eastAsia="宋体"/>
                <w:sz w:val="21"/>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61"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116.5</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1011"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115.16</w:t>
            </w:r>
          </w:p>
        </w:tc>
        <w:tc>
          <w:tcPr>
            <w:tcW w:w="1438"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28"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80"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116.5</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1011"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115.16</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1011"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0</w:t>
            </w:r>
          </w:p>
        </w:tc>
        <w:tc>
          <w:tcPr>
            <w:tcW w:w="1438"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8"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20"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18"/>
                <w:szCs w:val="18"/>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b/>
                <w:bCs/>
                <w:sz w:val="21"/>
                <w:szCs w:val="21"/>
                <w:lang w:eastAsia="zh-CN"/>
              </w:rPr>
              <w:t>戴光明</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4"/>
              </w:rPr>
              <w:t>副调研员</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30"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4"/>
                <w:szCs w:val="24"/>
                <w:lang w:eastAsia="zh-CN"/>
              </w:rPr>
              <w:t>唐卫斌</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4"/>
                <w:lang w:eastAsia="zh-CN"/>
              </w:rPr>
              <w:t>办公室</w:t>
            </w:r>
            <w:r>
              <w:rPr>
                <w:rFonts w:hint="eastAsia" w:ascii="宋体" w:hAnsi="宋体" w:eastAsia="宋体"/>
                <w:sz w:val="24"/>
              </w:rPr>
              <w:t>主任</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4"/>
                <w:lang w:eastAsia="zh-CN"/>
              </w:rPr>
              <w:t>林叶松</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4"/>
              </w:rPr>
              <w:t>科员</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4"/>
              </w:rPr>
              <w:t>市司法局</w:t>
            </w: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default" w:ascii="宋体" w:hAnsi="宋体" w:eastAsia="宋体"/>
                <w:color w:val="auto"/>
                <w:sz w:val="21"/>
                <w:szCs w:val="21"/>
                <w:lang w:val="en-US" w:eastAsia="zh-CN"/>
              </w:rPr>
            </w:pPr>
            <w:r>
              <w:rPr>
                <w:rFonts w:hint="eastAsia" w:ascii="宋体" w:hAnsi="宋体"/>
                <w:b/>
                <w:bCs/>
                <w:color w:val="auto"/>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outlineLvl w:val="0"/>
        <w:rPr>
          <w:rFonts w:hint="eastAsia"/>
          <w:color w:val="000000"/>
        </w:rPr>
      </w:pPr>
    </w:p>
    <w:p>
      <w:pPr>
        <w:spacing w:line="578"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一、项目概况</w:t>
      </w:r>
    </w:p>
    <w:p>
      <w:pPr>
        <w:spacing w:line="578" w:lineRule="exact"/>
        <w:ind w:firstLine="640" w:firstLineChars="200"/>
        <w:outlineLvl w:val="0"/>
        <w:rPr>
          <w:rFonts w:hint="eastAsia" w:ascii="楷体" w:hAnsi="楷体" w:eastAsia="楷体" w:cs="楷体"/>
          <w:color w:val="000000"/>
          <w:sz w:val="32"/>
          <w:szCs w:val="32"/>
        </w:rPr>
      </w:pPr>
      <w:r>
        <w:rPr>
          <w:rFonts w:hint="eastAsia" w:ascii="楷体" w:hAnsi="楷体" w:eastAsia="楷体" w:cs="楷体"/>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0"/>
          <w:sz w:val="32"/>
          <w:szCs w:val="32"/>
        </w:rPr>
        <w:t>根据我局的工作职能和职责、按照项目资金的使用内容和用途，本单位</w:t>
      </w:r>
      <w:r>
        <w:rPr>
          <w:rFonts w:hint="eastAsia" w:ascii="仿宋_GB2312" w:hAnsi="仿宋_GB2312" w:eastAsia="仿宋_GB2312" w:cs="仿宋_GB2312"/>
          <w:kern w:val="0"/>
          <w:sz w:val="32"/>
          <w:szCs w:val="32"/>
          <w:lang w:eastAsia="zh-CN"/>
        </w:rPr>
        <w:t>法制建设</w:t>
      </w:r>
      <w:r>
        <w:rPr>
          <w:rFonts w:hint="eastAsia" w:ascii="仿宋_GB2312" w:hAnsi="仿宋_GB2312" w:eastAsia="仿宋_GB2312" w:cs="仿宋_GB2312"/>
          <w:kern w:val="0"/>
          <w:sz w:val="32"/>
          <w:szCs w:val="32"/>
        </w:rPr>
        <w:t>项目资金支出主要有</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项：1.</w:t>
      </w:r>
      <w:r>
        <w:rPr>
          <w:rFonts w:hint="eastAsia" w:ascii="仿宋_GB2312" w:hAnsi="仿宋_GB2312" w:eastAsia="仿宋_GB2312" w:cs="仿宋_GB2312"/>
          <w:kern w:val="0"/>
          <w:sz w:val="32"/>
          <w:szCs w:val="32"/>
          <w:lang w:eastAsia="zh-CN"/>
        </w:rPr>
        <w:t>监督科工作</w:t>
      </w:r>
      <w:r>
        <w:rPr>
          <w:rFonts w:hint="eastAsia" w:ascii="仿宋_GB2312" w:hAnsi="仿宋_GB2312" w:eastAsia="仿宋_GB2312" w:cs="仿宋_GB2312"/>
          <w:kern w:val="0"/>
          <w:sz w:val="32"/>
          <w:szCs w:val="32"/>
        </w:rPr>
        <w:t>经费；2.</w:t>
      </w:r>
      <w:r>
        <w:rPr>
          <w:rFonts w:hint="eastAsia" w:ascii="仿宋_GB2312" w:hAnsi="仿宋_GB2312" w:eastAsia="仿宋_GB2312" w:cs="仿宋_GB2312"/>
          <w:kern w:val="0"/>
          <w:sz w:val="32"/>
          <w:szCs w:val="32"/>
          <w:lang w:eastAsia="zh-CN"/>
        </w:rPr>
        <w:t>应诉工作</w:t>
      </w:r>
      <w:r>
        <w:rPr>
          <w:rFonts w:hint="eastAsia" w:ascii="仿宋_GB2312" w:hAnsi="仿宋_GB2312" w:eastAsia="仿宋_GB2312" w:cs="仿宋_GB2312"/>
          <w:kern w:val="0"/>
          <w:sz w:val="32"/>
          <w:szCs w:val="32"/>
        </w:rPr>
        <w:t>经费；3.</w:t>
      </w:r>
      <w:r>
        <w:rPr>
          <w:rFonts w:hint="eastAsia" w:ascii="仿宋_GB2312" w:hAnsi="仿宋_GB2312" w:eastAsia="仿宋_GB2312" w:cs="仿宋_GB2312"/>
          <w:kern w:val="0"/>
          <w:sz w:val="32"/>
          <w:szCs w:val="32"/>
          <w:lang w:eastAsia="zh-CN"/>
        </w:rPr>
        <w:t>行政复议工作</w:t>
      </w:r>
      <w:r>
        <w:rPr>
          <w:rFonts w:hint="eastAsia" w:ascii="仿宋_GB2312" w:hAnsi="仿宋_GB2312" w:eastAsia="仿宋_GB2312" w:cs="仿宋_GB2312"/>
          <w:kern w:val="0"/>
          <w:sz w:val="32"/>
          <w:szCs w:val="32"/>
        </w:rPr>
        <w:t>经费；4.</w:t>
      </w:r>
      <w:r>
        <w:rPr>
          <w:rFonts w:hint="eastAsia" w:ascii="仿宋_GB2312" w:hAnsi="仿宋_GB2312" w:eastAsia="仿宋_GB2312" w:cs="仿宋_GB2312"/>
          <w:kern w:val="0"/>
          <w:sz w:val="32"/>
          <w:szCs w:val="32"/>
          <w:lang w:eastAsia="zh-CN"/>
        </w:rPr>
        <w:t>行政复议工作</w:t>
      </w:r>
      <w:r>
        <w:rPr>
          <w:rFonts w:hint="eastAsia" w:ascii="仿宋_GB2312" w:hAnsi="仿宋_GB2312" w:eastAsia="仿宋_GB2312" w:cs="仿宋_GB2312"/>
          <w:kern w:val="0"/>
          <w:sz w:val="32"/>
          <w:szCs w:val="32"/>
        </w:rPr>
        <w:t>经费；5.</w:t>
      </w:r>
      <w:r>
        <w:rPr>
          <w:rFonts w:hint="eastAsia" w:ascii="仿宋_GB2312" w:hAnsi="仿宋_GB2312" w:eastAsia="仿宋_GB2312" w:cs="仿宋_GB2312"/>
          <w:kern w:val="0"/>
          <w:sz w:val="32"/>
          <w:szCs w:val="32"/>
          <w:lang w:eastAsia="zh-CN"/>
        </w:rPr>
        <w:t>立法工作</w:t>
      </w:r>
      <w:r>
        <w:rPr>
          <w:rFonts w:hint="eastAsia" w:ascii="仿宋_GB2312" w:hAnsi="仿宋_GB2312" w:eastAsia="仿宋_GB2312" w:cs="仿宋_GB2312"/>
          <w:kern w:val="0"/>
          <w:sz w:val="32"/>
          <w:szCs w:val="32"/>
        </w:rPr>
        <w:t>经费；6.</w:t>
      </w:r>
      <w:r>
        <w:rPr>
          <w:rFonts w:hint="eastAsia" w:ascii="仿宋_GB2312" w:hAnsi="仿宋_GB2312" w:eastAsia="仿宋_GB2312" w:cs="仿宋_GB2312"/>
          <w:kern w:val="0"/>
          <w:sz w:val="32"/>
          <w:szCs w:val="32"/>
          <w:lang w:eastAsia="zh-CN"/>
        </w:rPr>
        <w:t>法律事务工作</w:t>
      </w:r>
      <w:r>
        <w:rPr>
          <w:rFonts w:hint="eastAsia" w:ascii="仿宋_GB2312" w:hAnsi="仿宋_GB2312" w:eastAsia="仿宋_GB2312" w:cs="仿宋_GB2312"/>
          <w:kern w:val="0"/>
          <w:sz w:val="32"/>
          <w:szCs w:val="32"/>
        </w:rPr>
        <w:t>经费等。这6个项目为持续性、常年性项目，资金来源为年初财政预算。通过这些专项工作的开展，维护</w:t>
      </w:r>
      <w:r>
        <w:rPr>
          <w:rFonts w:hint="eastAsia" w:ascii="仿宋_GB2312" w:hAnsi="仿宋_GB2312" w:eastAsia="仿宋_GB2312" w:cs="仿宋_GB2312"/>
          <w:kern w:val="0"/>
          <w:sz w:val="32"/>
          <w:szCs w:val="32"/>
          <w:lang w:eastAsia="zh-CN"/>
        </w:rPr>
        <w:t>政府和</w:t>
      </w:r>
      <w:r>
        <w:rPr>
          <w:rFonts w:hint="eastAsia" w:ascii="仿宋_GB2312" w:hAnsi="仿宋_GB2312" w:eastAsia="仿宋_GB2312" w:cs="仿宋_GB2312"/>
          <w:kern w:val="0"/>
          <w:sz w:val="32"/>
          <w:szCs w:val="32"/>
        </w:rPr>
        <w:t>社会弱势群体的合法权益，维护社会稳定</w:t>
      </w:r>
      <w:r>
        <w:rPr>
          <w:rFonts w:hint="eastAsia" w:ascii="仿宋_GB2312" w:hAnsi="仿宋_GB2312" w:eastAsia="仿宋_GB2312" w:cs="仿宋_GB2312"/>
          <w:kern w:val="0"/>
          <w:sz w:val="32"/>
          <w:szCs w:val="32"/>
          <w:lang w:eastAsia="zh-CN"/>
        </w:rPr>
        <w:t>。</w:t>
      </w:r>
    </w:p>
    <w:p>
      <w:pPr>
        <w:spacing w:line="578" w:lineRule="exact"/>
        <w:ind w:firstLine="640" w:firstLineChars="200"/>
        <w:outlineLvl w:val="0"/>
        <w:rPr>
          <w:rFonts w:hint="eastAsia" w:ascii="楷体" w:hAnsi="楷体" w:eastAsia="楷体" w:cs="楷体"/>
          <w:color w:val="auto"/>
          <w:sz w:val="32"/>
          <w:szCs w:val="32"/>
        </w:rPr>
      </w:pPr>
      <w:r>
        <w:rPr>
          <w:rFonts w:hint="eastAsia" w:ascii="楷体" w:hAnsi="楷体" w:eastAsia="楷体" w:cs="楷体"/>
          <w:color w:val="auto"/>
          <w:sz w:val="32"/>
          <w:szCs w:val="32"/>
        </w:rPr>
        <w:t>（二）项目绩效目标</w:t>
      </w:r>
    </w:p>
    <w:p>
      <w:pPr>
        <w:spacing w:line="578" w:lineRule="exact"/>
        <w:ind w:firstLine="640" w:firstLineChars="20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1、统筹完成全市立法规划工作任务。</w:t>
      </w:r>
    </w:p>
    <w:p>
      <w:pPr>
        <w:spacing w:line="578" w:lineRule="exact"/>
        <w:ind w:firstLine="640" w:firstLineChars="20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2、完成市政府规范性文件的合法性审查工作。对市政府重大决策及重要具体行政行为进行合法性审查。</w:t>
      </w:r>
    </w:p>
    <w:p>
      <w:pPr>
        <w:spacing w:line="578" w:lineRule="exact"/>
        <w:ind w:firstLine="640" w:firstLineChars="20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3、统筹推进法治政府建设工作，负责监督协调行政执法，做好行政执法体制改革有关工作，推进严格规范公正文明执法。</w:t>
      </w:r>
    </w:p>
    <w:p>
      <w:pPr>
        <w:spacing w:line="578" w:lineRule="exact"/>
        <w:ind w:firstLine="640" w:firstLineChars="20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4、完成市政府提出申请的行政复议案件的承办任务。</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val="en-US" w:eastAsia="zh-CN" w:bidi="ar"/>
        </w:rPr>
        <w:t>5、完成以市政府为当事人的案件和依据相关规定的以市政府各部门为当事人的案件的承办任务。</w:t>
      </w:r>
    </w:p>
    <w:p>
      <w:pPr>
        <w:spacing w:line="578" w:lineRule="exact"/>
        <w:outlineLvl w:val="0"/>
        <w:rPr>
          <w:rFonts w:hint="eastAsia" w:ascii="黑体" w:hAnsi="黑体" w:eastAsia="黑体" w:cs="黑体"/>
          <w:bCs/>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 xml:space="preserve"> 二、</w:t>
      </w:r>
      <w:r>
        <w:rPr>
          <w:rFonts w:hint="eastAsia" w:ascii="黑体" w:hAnsi="黑体" w:eastAsia="黑体" w:cs="黑体"/>
          <w:bCs/>
          <w:color w:val="000000"/>
          <w:sz w:val="32"/>
          <w:szCs w:val="32"/>
        </w:rPr>
        <w:t>项目资金使用及管理情况</w:t>
      </w:r>
    </w:p>
    <w:p>
      <w:pPr>
        <w:spacing w:line="578" w:lineRule="exact"/>
        <w:ind w:firstLine="640" w:firstLineChars="200"/>
        <w:rPr>
          <w:rFonts w:hint="eastAsia" w:ascii="楷体" w:hAnsi="楷体" w:eastAsia="楷体" w:cs="楷体"/>
          <w:bCs/>
          <w:color w:val="000000"/>
          <w:sz w:val="32"/>
          <w:szCs w:val="32"/>
        </w:rPr>
      </w:pPr>
      <w:r>
        <w:rPr>
          <w:rFonts w:hint="eastAsia" w:ascii="楷体" w:hAnsi="楷体" w:eastAsia="楷体" w:cs="楷体"/>
          <w:sz w:val="32"/>
          <w:szCs w:val="32"/>
        </w:rPr>
        <w:t>（一）项目资金到位情况分析</w:t>
      </w:r>
      <w:r>
        <w:rPr>
          <w:rFonts w:hint="eastAsia" w:ascii="楷体" w:hAnsi="楷体" w:eastAsia="楷体" w:cs="楷体"/>
          <w:bCs/>
          <w:color w:val="000000"/>
          <w:sz w:val="32"/>
          <w:szCs w:val="32"/>
        </w:rPr>
        <w:t>（包括财政资金、自筹资金等）</w:t>
      </w:r>
    </w:p>
    <w:p>
      <w:pPr>
        <w:numPr>
          <w:ilvl w:val="0"/>
          <w:numId w:val="0"/>
        </w:num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法制建设</w:t>
      </w:r>
      <w:r>
        <w:rPr>
          <w:rFonts w:hint="eastAsia" w:ascii="仿宋_GB2312" w:hAnsi="仿宋_GB2312" w:eastAsia="仿宋_GB2312" w:cs="仿宋_GB2312"/>
          <w:sz w:val="32"/>
          <w:szCs w:val="32"/>
        </w:rPr>
        <w:t>经费20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年市财政预算资金</w:t>
      </w:r>
      <w:r>
        <w:rPr>
          <w:rFonts w:hint="eastAsia" w:ascii="仿宋_GB2312" w:hAnsi="仿宋_GB2312" w:eastAsia="仿宋_GB2312" w:cs="仿宋_GB2312"/>
          <w:sz w:val="32"/>
          <w:szCs w:val="32"/>
          <w:lang w:val="en-US" w:eastAsia="zh-CN"/>
        </w:rPr>
        <w:t>116.5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，均为市级财政预算资金</w:t>
      </w:r>
    </w:p>
    <w:p>
      <w:pPr>
        <w:numPr>
          <w:ilvl w:val="0"/>
          <w:numId w:val="0"/>
        </w:numPr>
        <w:spacing w:line="578"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项目资金使用情况分析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法制建设</w:t>
      </w:r>
      <w:r>
        <w:rPr>
          <w:rFonts w:hint="eastAsia" w:ascii="仿宋_GB2312" w:hAnsi="仿宋_GB2312" w:eastAsia="仿宋_GB2312" w:cs="仿宋_GB2312"/>
          <w:sz w:val="32"/>
          <w:szCs w:val="32"/>
        </w:rPr>
        <w:t>经费按计划使用资金</w:t>
      </w:r>
      <w:r>
        <w:rPr>
          <w:rFonts w:hint="eastAsia" w:ascii="仿宋_GB2312" w:hAnsi="仿宋_GB2312" w:eastAsia="仿宋_GB2312" w:cs="仿宋_GB2312"/>
          <w:sz w:val="32"/>
          <w:szCs w:val="32"/>
          <w:lang w:val="en-US" w:eastAsia="zh-CN"/>
        </w:rPr>
        <w:t>116.5</w:t>
      </w:r>
      <w:r>
        <w:rPr>
          <w:rFonts w:hint="eastAsia" w:ascii="仿宋_GB2312" w:hAnsi="仿宋_GB2312" w:eastAsia="仿宋_GB2312" w:cs="仿宋_GB2312"/>
          <w:sz w:val="32"/>
          <w:szCs w:val="32"/>
        </w:rPr>
        <w:t>万元，实际到位资金</w:t>
      </w:r>
      <w:r>
        <w:rPr>
          <w:rFonts w:hint="eastAsia" w:ascii="仿宋_GB2312" w:hAnsi="仿宋_GB2312" w:eastAsia="仿宋_GB2312" w:cs="仿宋_GB2312"/>
          <w:sz w:val="32"/>
          <w:szCs w:val="32"/>
          <w:lang w:val="en-US" w:eastAsia="zh-CN"/>
        </w:rPr>
        <w:t>115.16万</w:t>
      </w:r>
      <w:r>
        <w:rPr>
          <w:rFonts w:hint="eastAsia" w:ascii="仿宋_GB2312" w:hAnsi="仿宋_GB2312" w:eastAsia="仿宋_GB2312" w:cs="仿宋_GB2312"/>
          <w:sz w:val="32"/>
          <w:szCs w:val="32"/>
        </w:rPr>
        <w:t>元，实际使用资金</w:t>
      </w:r>
      <w:r>
        <w:rPr>
          <w:rFonts w:hint="eastAsia" w:ascii="仿宋_GB2312" w:hAnsi="仿宋_GB2312" w:eastAsia="仿宋_GB2312" w:cs="仿宋_GB2312"/>
          <w:sz w:val="32"/>
          <w:szCs w:val="32"/>
          <w:lang w:val="en-US" w:eastAsia="zh-CN"/>
        </w:rPr>
        <w:t>93.09万</w:t>
      </w:r>
      <w:r>
        <w:rPr>
          <w:rFonts w:hint="eastAsia" w:ascii="仿宋_GB2312" w:hAnsi="仿宋_GB2312" w:eastAsia="仿宋_GB2312" w:cs="仿宋_GB2312"/>
          <w:sz w:val="32"/>
          <w:szCs w:val="32"/>
        </w:rPr>
        <w:t>元，剩余</w:t>
      </w:r>
      <w:r>
        <w:rPr>
          <w:rFonts w:hint="eastAsia" w:ascii="仿宋_GB2312" w:hAnsi="仿宋_GB2312" w:eastAsia="仿宋_GB2312" w:cs="仿宋_GB2312"/>
          <w:sz w:val="32"/>
          <w:szCs w:val="32"/>
          <w:lang w:val="en-US" w:eastAsia="zh-CN"/>
        </w:rPr>
        <w:t>22.07万</w:t>
      </w:r>
      <w:r>
        <w:rPr>
          <w:rFonts w:hint="eastAsia" w:ascii="仿宋_GB2312" w:hAnsi="仿宋_GB2312" w:eastAsia="仿宋_GB2312" w:cs="仿宋_GB2312"/>
          <w:sz w:val="32"/>
          <w:szCs w:val="32"/>
        </w:rPr>
        <w:t>元。</w:t>
      </w:r>
    </w:p>
    <w:p>
      <w:pPr>
        <w:spacing w:line="578" w:lineRule="exact"/>
        <w:ind w:firstLine="640" w:firstLineChars="200"/>
        <w:rPr>
          <w:rFonts w:hint="eastAsia" w:ascii="仿宋_GB2312" w:hAnsi="仿宋_GB2312" w:eastAsia="仿宋_GB2312" w:cs="仿宋_GB2312"/>
          <w:bCs/>
          <w:color w:val="000000"/>
          <w:sz w:val="32"/>
          <w:szCs w:val="32"/>
          <w:lang w:eastAsia="zh-CN"/>
        </w:rPr>
      </w:pPr>
      <w:r>
        <w:rPr>
          <w:rFonts w:hint="eastAsia" w:ascii="楷体" w:hAnsi="楷体" w:eastAsia="楷体" w:cs="楷体"/>
          <w:sz w:val="32"/>
          <w:szCs w:val="32"/>
          <w:lang w:eastAsia="zh-CN"/>
        </w:rPr>
        <w:t>（三）</w:t>
      </w:r>
      <w:r>
        <w:rPr>
          <w:rFonts w:hint="eastAsia" w:ascii="楷体" w:hAnsi="楷体" w:eastAsia="楷体" w:cs="楷体"/>
          <w:sz w:val="32"/>
          <w:szCs w:val="32"/>
        </w:rPr>
        <w:t>项目资金管理情况分析</w:t>
      </w:r>
      <w:r>
        <w:rPr>
          <w:rFonts w:hint="eastAsia" w:ascii="楷体" w:hAnsi="楷体" w:eastAsia="楷体" w:cs="楷体"/>
          <w:bCs/>
          <w:color w:val="000000"/>
          <w:sz w:val="32"/>
          <w:szCs w:val="32"/>
        </w:rPr>
        <w:t>（包括管理制度、办法的制订及执行情况等）</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年我局积极探索完善项目管理的有效机制，不断完善财务管理、内控管理制度，形成了一套行之有效的资金和项目管理体系，确保了</w:t>
      </w:r>
      <w:r>
        <w:rPr>
          <w:rFonts w:hint="eastAsia" w:ascii="仿宋_GB2312" w:hAnsi="仿宋_GB2312" w:eastAsia="仿宋_GB2312" w:cs="仿宋_GB2312"/>
          <w:bCs/>
          <w:color w:val="000000"/>
          <w:sz w:val="32"/>
          <w:szCs w:val="32"/>
          <w:lang w:eastAsia="zh-CN"/>
        </w:rPr>
        <w:t>法制建设</w:t>
      </w:r>
      <w:bookmarkStart w:id="0" w:name="_GoBack"/>
      <w:bookmarkEnd w:id="0"/>
      <w:r>
        <w:rPr>
          <w:rFonts w:hint="eastAsia" w:ascii="仿宋_GB2312" w:hAnsi="仿宋_GB2312" w:eastAsia="仿宋_GB2312" w:cs="仿宋_GB2312"/>
          <w:bCs/>
          <w:color w:val="000000"/>
          <w:sz w:val="32"/>
          <w:szCs w:val="32"/>
        </w:rPr>
        <w:t>项目的有效运行，确保了各项目顺利实施，达到了应有的效果。</w:t>
      </w:r>
      <w:r>
        <w:rPr>
          <w:rFonts w:hint="eastAsia" w:ascii="仿宋_GB2312" w:hAnsi="仿宋_GB2312" w:eastAsia="仿宋_GB2312" w:cs="仿宋_GB2312"/>
          <w:bCs/>
          <w:color w:val="000000"/>
          <w:sz w:val="32"/>
          <w:szCs w:val="32"/>
          <w:lang w:eastAsia="zh-CN"/>
        </w:rPr>
        <w:t>项目经费及时到位，基本按照预算安排执行，</w:t>
      </w:r>
      <w:r>
        <w:rPr>
          <w:rFonts w:hint="eastAsia" w:ascii="仿宋_GB2312" w:hAnsi="仿宋_GB2312" w:eastAsia="仿宋_GB2312" w:cs="仿宋_GB2312"/>
          <w:bCs/>
          <w:color w:val="000000"/>
          <w:sz w:val="32"/>
          <w:szCs w:val="32"/>
        </w:rPr>
        <w:t>项目资金拨付严格审批程序，使用规范，会计核算结果真实、准确。此次绩效评价过程中未发现有截留、挤占或挪用项目资金的情况</w:t>
      </w:r>
      <w:r>
        <w:rPr>
          <w:rFonts w:hint="eastAsia" w:ascii="仿宋_GB2312" w:hAnsi="仿宋_GB2312" w:eastAsia="仿宋_GB2312" w:cs="仿宋_GB2312"/>
          <w:bCs/>
          <w:color w:val="000000"/>
          <w:sz w:val="32"/>
          <w:szCs w:val="32"/>
          <w:lang w:eastAsia="zh-CN"/>
        </w:rPr>
        <w:t>。</w:t>
      </w:r>
    </w:p>
    <w:p>
      <w:pPr>
        <w:spacing w:line="578"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78"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（一）项目组织情况分析（包括项目招投标情况、调整情况、完成验收等）</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切实发挥好法治建设议事协调机构作用，及时推动召开市依法治市委第二次会议，明确全面依法治市工作主线，统筹推进法治建设重大决策实施。</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起草《法治建设联络员工作办法》《信息报送规定》《法治工作重要决定和方案备案工作实施细则》，建立健全依法治市工作机制，有力促进法治工作全面发展。修改完善海口市法治政府建设考核评分体系，组织对各区、市直各部门开展法治政府建设年度考核，及时通报存在的问题，明确整改措施和期限，增强法治政府建设的紧迫感和责任感。</w:t>
      </w:r>
    </w:p>
    <w:p>
      <w:pPr>
        <w:numPr>
          <w:ilvl w:val="0"/>
          <w:numId w:val="0"/>
        </w:numPr>
        <w:spacing w:line="500" w:lineRule="exac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印发《关于加强协调小组实体化运作的通知》，召开协调小组联络员座谈培训会，推动立法、执法、普法守法等协调小组逐步开展实体化运作。</w:t>
      </w:r>
    </w:p>
    <w:p>
      <w:pPr>
        <w:numPr>
          <w:ilvl w:val="0"/>
          <w:numId w:val="0"/>
        </w:num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制定2020年法治督察计划，对行政执法“三项制度”推行、2019年法治政府建设考核工作问题整改情况、2020年部分市直机关“双随机一公开”监管督查和各区、管委会案卷执法情况开展专项督察，及时协调督促主要责任单位落实依法治市工作重要部署。认真做好省委托第三方法治政府建设考核评估迎检工作，海口获得全省各市县评估第一。</w:t>
      </w:r>
    </w:p>
    <w:p>
      <w:pPr>
        <w:spacing w:line="5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rPr>
        <w:t>围绕市委市政府中心工作，紧扣自贸港建设实际，精心编制市政府年度立法计划，安排《海口市江东新区生态环境保护条例》《海口市市场准入承诺即入管理办法》《海口市社会信用</w:t>
      </w:r>
      <w:r>
        <w:rPr>
          <w:rFonts w:hint="eastAsia" w:ascii="仿宋_GB2312" w:hAnsi="仿宋_GB2312" w:eastAsia="仿宋_GB2312" w:cs="仿宋_GB2312"/>
          <w:b w:val="0"/>
          <w:bCs w:val="0"/>
          <w:sz w:val="32"/>
          <w:szCs w:val="32"/>
        </w:rPr>
        <w:t>管理办法》等立法项目共计31件</w:t>
      </w:r>
      <w:r>
        <w:rPr>
          <w:rFonts w:hint="eastAsia" w:ascii="仿宋_GB2312" w:hAnsi="仿宋_GB2312" w:eastAsia="仿宋_GB2312" w:cs="仿宋_GB2312"/>
          <w:b w:val="0"/>
          <w:bCs w:val="0"/>
          <w:sz w:val="32"/>
          <w:szCs w:val="32"/>
          <w:lang w:eastAsia="zh-CN"/>
        </w:rPr>
        <w:t>。</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sz w:val="32"/>
          <w:szCs w:val="32"/>
        </w:rPr>
        <w:t>建立完善政府规章立法后评估工作机制，起草并提请政府印发《海口市政府规章立法后评估办法》，及时修改和废止不适应改革和经济社会发展要求的法律法规规章，不断提高政府立法科学性</w:t>
      </w:r>
      <w:r>
        <w:rPr>
          <w:rFonts w:hint="eastAsia" w:ascii="仿宋_GB2312" w:hAnsi="仿宋_GB2312" w:eastAsia="仿宋_GB2312" w:cs="仿宋_GB2312"/>
          <w:sz w:val="32"/>
          <w:szCs w:val="32"/>
          <w:lang w:eastAsia="zh-CN"/>
        </w:rPr>
        <w:t>；</w:t>
      </w:r>
    </w:p>
    <w:p>
      <w:pPr>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sz w:val="32"/>
          <w:szCs w:val="32"/>
        </w:rPr>
        <w:t>推动出台《海口市行政规范性文件制定与备案管理办法》，对全市16家单位制定并报备的22份行政处罚自由裁量权行政规范性文件进行审核，针对存在问题要求相关单位进行修订或废止。编制《海口市行政规范性文件制定主体清单》并印发，进一步明确我市行政规范性文件制定主体资格。</w:t>
      </w:r>
    </w:p>
    <w:p>
      <w:pPr>
        <w:spacing w:line="5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w:t>
      </w:r>
      <w:r>
        <w:rPr>
          <w:rFonts w:hint="eastAsia" w:ascii="仿宋_GB2312" w:hAnsi="仿宋_GB2312" w:eastAsia="仿宋_GB2312" w:cs="仿宋_GB2312"/>
          <w:sz w:val="32"/>
          <w:szCs w:val="32"/>
        </w:rPr>
        <w:t>出台《海口市人民政府行政决策程序规定》，提高市政府行政决策科学化、民主化、法治化水平。组织开展重大行政决策目录试点工作，提请市政府印发《海口市重大行政决策目录试点工作方案》，在龙华区政府、琼山区政府、市资规局、市教育局等10家单位开展重大行政决策目录试点工作。</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健全完善市政府专职法律顾问制度，</w:t>
      </w:r>
      <w:r>
        <w:rPr>
          <w:rFonts w:ascii="仿宋_GB2312" w:hAnsi="仿宋_GB2312" w:eastAsia="仿宋_GB2312" w:cs="仿宋_GB2312"/>
          <w:sz w:val="32"/>
          <w:szCs w:val="32"/>
        </w:rPr>
        <w:t>制定出台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海口市人民政府法律顾问室工作规则</w:t>
      </w:r>
      <w:r>
        <w:rPr>
          <w:rFonts w:hint="eastAsia" w:ascii="仿宋_GB2312" w:hAnsi="仿宋_GB2312" w:eastAsia="仿宋_GB2312" w:cs="仿宋_GB2312"/>
          <w:sz w:val="32"/>
          <w:szCs w:val="32"/>
        </w:rPr>
        <w:t>》，推动修订《海口市人民政府专职法律顾问及法律助理管理办法》，面向全国公开招聘4名市政府专职法律顾问。</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Cs/>
          <w:sz w:val="32"/>
          <w:szCs w:val="32"/>
        </w:rPr>
        <w:t>深</w:t>
      </w:r>
      <w:r>
        <w:rPr>
          <w:rFonts w:hint="eastAsia" w:ascii="仿宋_GB2312" w:hAnsi="仿宋_GB2312" w:eastAsia="仿宋_GB2312" w:cs="仿宋_GB2312"/>
          <w:sz w:val="32"/>
          <w:szCs w:val="32"/>
        </w:rPr>
        <w:t>入推进行政复议体制机制改革。推动出台《海口市人民政府市级行政复议体制改革工作方案》，实现“一级政府只设立一个行政复议机关”的行政复议体制改革工作目标，由政府集中行使行政复议职责,行政复议案件由统一的行政复议机构“集中受理、集中审理、集中决定”。</w:t>
      </w:r>
    </w:p>
    <w:p>
      <w:pPr>
        <w:spacing w:line="5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修订《海口市人民政府应诉工作规则》，调整市政府涉诉案件的范围，推动落实被诉行政机关负责人出庭应诉制度，明确案件承办单位、市政府法律顾问室的应诉职责，加强对政府应诉工作的监督管理，防止出现法院判决不执行等问题。根据2019年度2000多件案件及700余份裁判文书情况，起草了《 2019 年度全市行政应诉工作分析情况报告》</w:t>
      </w:r>
      <w:r>
        <w:rPr>
          <w:rFonts w:hint="eastAsia" w:ascii="仿宋_GB2312" w:hAnsi="仿宋_GB2312" w:eastAsia="仿宋_GB2312" w:cs="仿宋_GB2312"/>
          <w:sz w:val="32"/>
          <w:szCs w:val="32"/>
          <w:lang w:eastAsia="zh-CN"/>
        </w:rPr>
        <w:t>。</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严格规范行政执法行为。全面推行行政执法公示制度、执法全过程记录制度、重大执法决定法制审核制度，开展“三项制度”落实情况检查和行政执法案卷评查工作，实地抽查四个区和市公安局、市综合执法局、市交通港航局、市市场监管局等单位的案卷评查情况。开展“双随机、一公开”监管抽查工作，对市住建局等8家市政府直属单位进行实地检查。抓好行政执法综合体制改革相关职能单位工作划转法律审核工作，组织247人报名参加执法资格考试，进一步提升全市行政执法规范化水平。</w:t>
      </w:r>
    </w:p>
    <w:p>
      <w:pPr>
        <w:spacing w:line="500" w:lineRule="exact"/>
        <w:ind w:firstLine="640"/>
        <w:rPr>
          <w:rFonts w:hint="eastAsia" w:ascii="楷体" w:hAnsi="楷体" w:eastAsia="楷体" w:cs="楷体"/>
          <w:bCs/>
          <w:color w:val="000000"/>
          <w:sz w:val="32"/>
          <w:szCs w:val="32"/>
        </w:rPr>
      </w:pPr>
      <w:r>
        <w:rPr>
          <w:rFonts w:hint="eastAsia" w:ascii="楷体" w:hAnsi="楷体" w:eastAsia="楷体" w:cs="楷体"/>
          <w:bCs/>
          <w:color w:val="000000"/>
          <w:sz w:val="32"/>
          <w:szCs w:val="32"/>
        </w:rPr>
        <w:t>（二）项目管理情况分析（包括项目管理制度建设、日常检查监督管理等情况）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国家、省、市相关规定及相关文件精神，对项目经费的使用制定了管理办法，不断加强财务管理内控制度，进一步完善经费管理规定。项目由各业务处室组织实施，资金支出由办公室统筹办理，不以任何理由虚列、截留、挤占、挪用，也不超标准开支，严格按照财务规定执行。</w:t>
      </w:r>
    </w:p>
    <w:p>
      <w:pPr>
        <w:spacing w:line="578" w:lineRule="exact"/>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rPr>
        <w:t>四、项目绩效情况</w:t>
      </w:r>
    </w:p>
    <w:p>
      <w:pPr>
        <w:spacing w:line="578" w:lineRule="exact"/>
        <w:ind w:firstLine="640" w:firstLineChars="20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各部门项目支出严格按照预算科目及有关政策进行支付。</w:t>
      </w:r>
    </w:p>
    <w:p>
      <w:pPr>
        <w:numPr>
          <w:ilvl w:val="0"/>
          <w:numId w:val="1"/>
        </w:numPr>
        <w:spacing w:line="578"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tabs>
          <w:tab w:val="left" w:pos="640"/>
        </w:tabs>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eastAsia="zh-CN"/>
        </w:rPr>
        <w:t>各部门项目支出严格按照财务管理办法相关规章制度执行。</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年12月底项目已经全部实施完成，项目经费已拨付</w:t>
      </w:r>
      <w:r>
        <w:rPr>
          <w:rFonts w:hint="eastAsia" w:ascii="仿宋_GB2312" w:hAnsi="仿宋_GB2312" w:eastAsia="仿宋_GB2312" w:cs="仿宋_GB2312"/>
          <w:sz w:val="32"/>
          <w:szCs w:val="32"/>
          <w:lang w:val="en-US" w:eastAsia="zh-CN"/>
        </w:rPr>
        <w:t>115.16万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余</w:t>
      </w:r>
      <w:r>
        <w:rPr>
          <w:rFonts w:hint="eastAsia" w:ascii="仿宋_GB2312" w:hAnsi="仿宋_GB2312" w:eastAsia="仿宋_GB2312" w:cs="仿宋_GB2312"/>
          <w:sz w:val="32"/>
          <w:szCs w:val="32"/>
          <w:lang w:val="en-US" w:eastAsia="zh-CN"/>
        </w:rPr>
        <w:t>22.07万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根据项目年初使用计划逐步实施，合理配置资源，确保整个项目高质高效，完成质量较好。</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度</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2020年12月</w:t>
      </w:r>
      <w:r>
        <w:rPr>
          <w:rFonts w:hint="eastAsia" w:ascii="仿宋_GB2312" w:hAnsi="仿宋_GB2312" w:eastAsia="仿宋_GB2312" w:cs="仿宋_GB2312"/>
          <w:sz w:val="32"/>
          <w:szCs w:val="32"/>
          <w:lang w:eastAsia="zh-CN"/>
        </w:rPr>
        <w:t>项目已经全部实施完成，预期目标基本完成。</w:t>
      </w:r>
    </w:p>
    <w:p>
      <w:pPr>
        <w:pStyle w:val="2"/>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楷体" w:hAnsi="楷体" w:eastAsia="楷体" w:cs="楷体"/>
          <w:color w:val="auto"/>
          <w:sz w:val="32"/>
          <w:szCs w:val="32"/>
        </w:rPr>
        <w:t>项目</w:t>
      </w:r>
      <w:r>
        <w:rPr>
          <w:rFonts w:hint="eastAsia" w:ascii="仿宋_GB2312" w:hAnsi="仿宋_GB2312" w:eastAsia="仿宋_GB2312" w:cs="仿宋_GB2312"/>
          <w:color w:val="auto"/>
          <w:sz w:val="32"/>
          <w:szCs w:val="32"/>
        </w:rPr>
        <w:t>实施对经济和社会的影响</w:t>
      </w:r>
    </w:p>
    <w:p>
      <w:pPr>
        <w:spacing w:line="500" w:lineRule="exact"/>
        <w:ind w:firstLine="640"/>
        <w:rPr>
          <w:rFonts w:hint="eastAsia"/>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对市直30多个部门158件执行案件的基本情况进行分析总结，形成书面报告并提出意见建议，为政府相关决策提供详实的数据支持。进一步加强司法与行政的良性互动，推动市政府与海南省第一中级人民法院联合签署《关于行政诉讼工作良性互动的若干意见》。积极办理诉讼案件，有效维护政府合法权益，全年共收到应诉案件178件，没有出现消极应诉、不答辩、不举证、不出庭的情况和其它违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严格依法办理行政复议案件，加强行政复议案件的听证审理工作，实现公开透明办案。全年共收到行政复议申请111件，审理办结108件，其中开展听证23次。强化行政复议层级监督，对上一年度行政复议决定的履行情况开展督查，督促涉案单位切实履行行政复议决定，维护当事人的合法权益。</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认真做好</w:t>
      </w:r>
      <w:r>
        <w:rPr>
          <w:rFonts w:ascii="仿宋_GB2312" w:hAnsi="仿宋_GB2312" w:eastAsia="仿宋_GB2312" w:cs="仿宋_GB2312"/>
          <w:sz w:val="32"/>
          <w:szCs w:val="32"/>
        </w:rPr>
        <w:t>市政府行政决策</w:t>
      </w:r>
      <w:r>
        <w:rPr>
          <w:rFonts w:hint="eastAsia" w:ascii="仿宋_GB2312" w:hAnsi="仿宋_GB2312" w:eastAsia="仿宋_GB2312" w:cs="仿宋_GB2312"/>
          <w:sz w:val="32"/>
          <w:szCs w:val="32"/>
        </w:rPr>
        <w:t>合法性审查，</w:t>
      </w:r>
      <w:r>
        <w:rPr>
          <w:rFonts w:ascii="仿宋_GB2312" w:hAnsi="仿宋_GB2312" w:eastAsia="仿宋_GB2312" w:cs="仿宋_GB2312"/>
          <w:sz w:val="32"/>
          <w:szCs w:val="32"/>
        </w:rPr>
        <w:t>全年</w:t>
      </w:r>
      <w:r>
        <w:rPr>
          <w:rFonts w:hint="eastAsia" w:ascii="仿宋_GB2312" w:hAnsi="仿宋_GB2312" w:eastAsia="仿宋_GB2312" w:cs="仿宋_GB2312"/>
          <w:sz w:val="32"/>
          <w:szCs w:val="32"/>
        </w:rPr>
        <w:t>共</w:t>
      </w:r>
      <w:r>
        <w:rPr>
          <w:rFonts w:ascii="仿宋_GB2312" w:hAnsi="仿宋_GB2312" w:eastAsia="仿宋_GB2312" w:cs="仿宋_GB2312"/>
          <w:sz w:val="32"/>
          <w:szCs w:val="32"/>
        </w:rPr>
        <w:t>审核</w:t>
      </w:r>
      <w:r>
        <w:rPr>
          <w:rFonts w:hint="eastAsia" w:ascii="仿宋_GB2312" w:hAnsi="仿宋_GB2312" w:eastAsia="仿宋_GB2312" w:cs="仿宋_GB2312"/>
          <w:sz w:val="32"/>
          <w:szCs w:val="32"/>
        </w:rPr>
        <w:t>市政府常务会议和市政府“两重一大”专题会议</w:t>
      </w:r>
      <w:r>
        <w:rPr>
          <w:rFonts w:ascii="仿宋_GB2312" w:hAnsi="仿宋_GB2312" w:eastAsia="仿宋_GB2312" w:cs="仿宋_GB2312"/>
          <w:sz w:val="32"/>
          <w:szCs w:val="32"/>
        </w:rPr>
        <w:t>议题228</w:t>
      </w:r>
      <w:r>
        <w:rPr>
          <w:rFonts w:hint="eastAsia" w:ascii="仿宋_GB2312" w:hAnsi="仿宋_GB2312" w:eastAsia="仿宋_GB2312" w:cs="仿宋_GB2312"/>
          <w:sz w:val="32"/>
          <w:szCs w:val="32"/>
        </w:rPr>
        <w:t>件，审核市政府工作中涉及重大行政处罚、财政资金安排、政府投资项目、国有企业改制、重大涉稳问题等方面的涉法行政事务</w:t>
      </w:r>
      <w:r>
        <w:rPr>
          <w:rFonts w:ascii="仿宋_GB2312" w:hAnsi="仿宋_GB2312" w:eastAsia="仿宋_GB2312" w:cs="仿宋_GB2312"/>
          <w:sz w:val="32"/>
          <w:szCs w:val="32"/>
        </w:rPr>
        <w:t>822</w:t>
      </w:r>
      <w:r>
        <w:rPr>
          <w:rFonts w:hint="eastAsia" w:ascii="仿宋_GB2312" w:hAnsi="仿宋_GB2312" w:eastAsia="仿宋_GB2312" w:cs="仿宋_GB2312"/>
          <w:sz w:val="32"/>
          <w:szCs w:val="32"/>
        </w:rPr>
        <w:t>件，参加各类涉法工作会议</w:t>
      </w:r>
      <w:r>
        <w:rPr>
          <w:rFonts w:ascii="仿宋_GB2312" w:hAnsi="仿宋_GB2312" w:eastAsia="仿宋_GB2312" w:cs="仿宋_GB2312"/>
          <w:sz w:val="32"/>
          <w:szCs w:val="32"/>
        </w:rPr>
        <w:t>465</w:t>
      </w:r>
      <w:r>
        <w:rPr>
          <w:rFonts w:hint="eastAsia" w:ascii="仿宋_GB2312" w:hAnsi="仿宋_GB2312" w:eastAsia="仿宋_GB2312" w:cs="仿宋_GB2312"/>
          <w:sz w:val="32"/>
          <w:szCs w:val="32"/>
        </w:rPr>
        <w:t>次。</w:t>
      </w:r>
    </w:p>
    <w:p>
      <w:pPr>
        <w:numPr>
          <w:ilvl w:val="0"/>
          <w:numId w:val="2"/>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项目的可持续性分析</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海口市司法局是</w:t>
      </w:r>
      <w:r>
        <w:rPr>
          <w:rFonts w:hint="eastAsia" w:ascii="仿宋_GB2312" w:hAnsi="仿宋_GB2312" w:eastAsia="仿宋_GB2312" w:cs="仿宋_GB2312"/>
          <w:sz w:val="32"/>
          <w:szCs w:val="32"/>
        </w:rPr>
        <w:t>市政府组成部门，具有法律宣传、法律服务、法律保障三大职能，对巩固党的执政地位，推进依法治国方略，加强民主法制建设，维护社会公平正义，维护社会和谐稳定，促进经济社会发展，发挥着其他政府职能部门无法替代的功能和作用。</w:t>
      </w:r>
    </w:p>
    <w:p>
      <w:pPr>
        <w:numPr>
          <w:ilvl w:val="0"/>
          <w:numId w:val="3"/>
        </w:numPr>
        <w:tabs>
          <w:tab w:val="left" w:pos="878"/>
        </w:tabs>
        <w:spacing w:line="578" w:lineRule="exact"/>
        <w:ind w:left="640" w:leftChars="0" w:firstLine="0" w:firstLineChars="0"/>
        <w:outlineLvl w:val="0"/>
        <w:rPr>
          <w:rFonts w:hint="eastAsia" w:ascii="楷体" w:hAnsi="楷体" w:eastAsia="楷体" w:cs="楷体"/>
          <w:bCs/>
          <w:color w:val="000000"/>
          <w:sz w:val="32"/>
          <w:szCs w:val="32"/>
        </w:rPr>
      </w:pPr>
      <w:r>
        <w:rPr>
          <w:rFonts w:hint="eastAsia" w:ascii="楷体" w:hAnsi="楷体" w:eastAsia="楷体" w:cs="楷体"/>
          <w:bCs/>
          <w:color w:val="000000"/>
          <w:sz w:val="32"/>
          <w:szCs w:val="32"/>
        </w:rPr>
        <w:t>项目绩效目标未完成原因分析</w:t>
      </w:r>
    </w:p>
    <w:p>
      <w:pPr>
        <w:numPr>
          <w:ilvl w:val="0"/>
          <w:numId w:val="0"/>
        </w:numPr>
        <w:tabs>
          <w:tab w:val="left" w:pos="878"/>
        </w:tabs>
        <w:spacing w:line="578" w:lineRule="exact"/>
        <w:ind w:left="640" w:left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xml:space="preserve">  2020年基本完成绩效目标。</w:t>
      </w:r>
    </w:p>
    <w:p>
      <w:pPr>
        <w:numPr>
          <w:ilvl w:val="0"/>
          <w:numId w:val="4"/>
        </w:numPr>
        <w:spacing w:line="578" w:lineRule="exact"/>
        <w:ind w:left="640" w:leftChars="0" w:firstLine="0" w:firstLineChars="0"/>
        <w:outlineLvl w:val="0"/>
        <w:rPr>
          <w:rFonts w:hint="eastAsia" w:ascii="黑体" w:hAnsi="黑体" w:eastAsia="黑体" w:cs="黑体"/>
          <w:bCs/>
          <w:sz w:val="32"/>
          <w:szCs w:val="32"/>
        </w:rPr>
      </w:pPr>
      <w:r>
        <w:rPr>
          <w:rFonts w:hint="eastAsia" w:ascii="黑体" w:hAnsi="黑体" w:eastAsia="黑体" w:cs="黑体"/>
          <w:bCs/>
          <w:sz w:val="32"/>
          <w:szCs w:val="32"/>
        </w:rPr>
        <w:t>综合评价情况及评价结论</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年度，</w:t>
      </w:r>
      <w:r>
        <w:rPr>
          <w:rFonts w:hint="eastAsia" w:ascii="仿宋_GB2312" w:hAnsi="仿宋_GB2312" w:eastAsia="仿宋_GB2312" w:cs="仿宋_GB2312"/>
          <w:sz w:val="32"/>
          <w:szCs w:val="32"/>
        </w:rPr>
        <w:t>我局财务制度健全，管理规范，各项制度能有效执行。通过加强绩效管理，使资金得到有效使用，行政效率得到提高，促进了</w:t>
      </w:r>
      <w:r>
        <w:rPr>
          <w:rFonts w:hint="eastAsia" w:ascii="仿宋_GB2312" w:hAnsi="仿宋_GB2312" w:eastAsia="仿宋_GB2312" w:cs="仿宋_GB2312"/>
          <w:sz w:val="32"/>
          <w:szCs w:val="32"/>
          <w:lang w:eastAsia="zh-CN"/>
        </w:rPr>
        <w:t>法制建设</w:t>
      </w:r>
      <w:r>
        <w:rPr>
          <w:rFonts w:hint="eastAsia" w:ascii="仿宋_GB2312" w:hAnsi="仿宋_GB2312" w:eastAsia="仿宋_GB2312" w:cs="仿宋_GB2312"/>
          <w:sz w:val="32"/>
          <w:szCs w:val="32"/>
        </w:rPr>
        <w:t>各项工作顺利开展。</w:t>
      </w:r>
      <w:r>
        <w:rPr>
          <w:rFonts w:hint="eastAsia" w:ascii="仿宋_GB2312" w:hAnsi="仿宋_GB2312" w:eastAsia="仿宋_GB2312" w:cs="仿宋_GB2312"/>
          <w:bCs/>
          <w:sz w:val="32"/>
          <w:szCs w:val="32"/>
        </w:rPr>
        <w:t>项目在目标设定、决策过程、资金分配、资金到位、资金管理、组织实施、项目效果等方面落实情况较好，总自评分</w:t>
      </w:r>
      <w:r>
        <w:rPr>
          <w:rFonts w:hint="eastAsia" w:ascii="仿宋_GB2312" w:hAnsi="仿宋_GB2312" w:eastAsia="仿宋_GB2312" w:cs="仿宋_GB2312"/>
          <w:bCs/>
          <w:sz w:val="32"/>
          <w:szCs w:val="32"/>
          <w:lang w:val="en-US" w:eastAsia="zh-CN"/>
        </w:rPr>
        <w:t>97</w:t>
      </w:r>
      <w:r>
        <w:rPr>
          <w:rFonts w:hint="eastAsia" w:ascii="仿宋_GB2312" w:hAnsi="仿宋_GB2312" w:eastAsia="仿宋_GB2312" w:cs="仿宋_GB2312"/>
          <w:bCs/>
          <w:sz w:val="32"/>
          <w:szCs w:val="32"/>
        </w:rPr>
        <w:t>分，评价等次为优。</w:t>
      </w:r>
    </w:p>
    <w:p>
      <w:pPr>
        <w:numPr>
          <w:ilvl w:val="0"/>
          <w:numId w:val="4"/>
        </w:numPr>
        <w:spacing w:line="578" w:lineRule="exact"/>
        <w:ind w:left="640" w:leftChars="0" w:firstLine="0" w:firstLineChars="0"/>
        <w:outlineLvl w:val="0"/>
        <w:rPr>
          <w:rFonts w:hint="eastAsia" w:ascii="黑体" w:hAnsi="黑体" w:eastAsia="黑体" w:cs="黑体"/>
          <w:bCs/>
          <w:sz w:val="32"/>
          <w:szCs w:val="32"/>
        </w:rPr>
      </w:pPr>
      <w:r>
        <w:rPr>
          <w:rFonts w:hint="eastAsia" w:ascii="黑体" w:hAnsi="黑体" w:eastAsia="黑体" w:cs="黑体"/>
          <w:bCs/>
          <w:sz w:val="32"/>
          <w:szCs w:val="32"/>
        </w:rPr>
        <w:t>主要经验及做法、存在的问题和建议</w:t>
      </w:r>
    </w:p>
    <w:p>
      <w:pPr>
        <w:widowControl/>
        <w:spacing w:line="48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做</w:t>
      </w:r>
      <w:r>
        <w:rPr>
          <w:rFonts w:hint="eastAsia" w:ascii="仿宋_GB2312" w:hAnsi="仿宋_GB2312" w:eastAsia="仿宋_GB2312" w:cs="仿宋_GB2312"/>
          <w:kern w:val="0"/>
          <w:sz w:val="32"/>
          <w:szCs w:val="32"/>
        </w:rPr>
        <w:t>好项目实施的跟踪检查工作。定期不定期地对项目实施情况和经费使用情况进行跟踪检查，对能实现预期绩效目标的项目予以充分肯定，对进展缓慢，预期绩效目标较差的项目，及时进行协调和提出整改措施，确保项目实施工作正常运行，达到预期绩效目标。</w:t>
      </w:r>
    </w:p>
    <w:p>
      <w:pPr>
        <w:widowControl/>
        <w:spacing w:line="48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lang w:eastAsia="zh-CN"/>
        </w:rPr>
        <w:t>建议</w:t>
      </w:r>
      <w:r>
        <w:rPr>
          <w:rFonts w:hint="eastAsia" w:ascii="仿宋_GB2312" w:hAnsi="仿宋_GB2312" w:eastAsia="仿宋_GB2312" w:cs="仿宋_GB2312"/>
          <w:kern w:val="0"/>
          <w:sz w:val="32"/>
          <w:szCs w:val="32"/>
        </w:rPr>
        <w:t>进一步健全和完善财务管理制度及内部控制制度，创新管理手段，用新思路、新方法，改进完善财务管理方法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按照财政支出绩效管理的要求，建立科学的财政资金效益考评制度体系，不断提高财政资金使用管理的水平和效率。</w:t>
      </w:r>
    </w:p>
    <w:p>
      <w:pPr>
        <w:spacing w:line="578" w:lineRule="exact"/>
        <w:ind w:firstLine="640" w:firstLineChars="200"/>
        <w:outlineLvl w:val="0"/>
        <w:rPr>
          <w:rFonts w:hint="eastAsia" w:ascii="黑体" w:hAnsi="黑体" w:eastAsia="黑体" w:cs="黑体"/>
          <w:sz w:val="32"/>
          <w:szCs w:val="32"/>
        </w:rPr>
      </w:pPr>
      <w:r>
        <w:rPr>
          <w:rFonts w:hint="eastAsia" w:ascii="黑体" w:hAnsi="黑体" w:eastAsia="黑体" w:cs="黑体"/>
          <w:bCs/>
          <w:sz w:val="32"/>
          <w:szCs w:val="32"/>
        </w:rPr>
        <w:t>七、其他需说明的问题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2BAA3"/>
    <w:multiLevelType w:val="singleLevel"/>
    <w:tmpl w:val="94E2BAA3"/>
    <w:lvl w:ilvl="0" w:tentative="0">
      <w:start w:val="5"/>
      <w:numFmt w:val="chineseCounting"/>
      <w:suff w:val="nothing"/>
      <w:lvlText w:val="%1、"/>
      <w:lvlJc w:val="left"/>
      <w:pPr>
        <w:ind w:left="640" w:leftChars="0" w:firstLine="0" w:firstLineChars="0"/>
      </w:pPr>
      <w:rPr>
        <w:rFonts w:hint="eastAsia"/>
      </w:rPr>
    </w:lvl>
  </w:abstractNum>
  <w:abstractNum w:abstractNumId="1">
    <w:nsid w:val="BF32E11E"/>
    <w:multiLevelType w:val="singleLevel"/>
    <w:tmpl w:val="BF32E11E"/>
    <w:lvl w:ilvl="0" w:tentative="0">
      <w:start w:val="2"/>
      <w:numFmt w:val="chineseCounting"/>
      <w:suff w:val="nothing"/>
      <w:lvlText w:val="（%1）"/>
      <w:lvlJc w:val="left"/>
      <w:pPr>
        <w:ind w:left="640" w:leftChars="0" w:firstLine="0" w:firstLineChars="0"/>
      </w:pPr>
      <w:rPr>
        <w:rFonts w:hint="eastAsia"/>
      </w:rPr>
    </w:lvl>
  </w:abstractNum>
  <w:abstractNum w:abstractNumId="2">
    <w:nsid w:val="C77E0019"/>
    <w:multiLevelType w:val="singleLevel"/>
    <w:tmpl w:val="C77E0019"/>
    <w:lvl w:ilvl="0" w:tentative="0">
      <w:start w:val="4"/>
      <w:numFmt w:val="decimal"/>
      <w:suff w:val="space"/>
      <w:lvlText w:val="%1."/>
      <w:lvlJc w:val="left"/>
    </w:lvl>
  </w:abstractNum>
  <w:abstractNum w:abstractNumId="3">
    <w:nsid w:val="FDE7A579"/>
    <w:multiLevelType w:val="singleLevel"/>
    <w:tmpl w:val="FDE7A579"/>
    <w:lvl w:ilvl="0" w:tentative="0">
      <w:start w:val="2"/>
      <w:numFmt w:val="decimal"/>
      <w:suff w:val="nothing"/>
      <w:lvlText w:val="（%1）"/>
      <w:lvlJc w:val="left"/>
      <w:pPr>
        <w:ind w:left="41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1710AC8"/>
    <w:rsid w:val="042E6718"/>
    <w:rsid w:val="09205EDE"/>
    <w:rsid w:val="09CD3D03"/>
    <w:rsid w:val="0BAE2ACD"/>
    <w:rsid w:val="0CE22F77"/>
    <w:rsid w:val="0E0A3D81"/>
    <w:rsid w:val="0FE23304"/>
    <w:rsid w:val="10B22B70"/>
    <w:rsid w:val="118A73CA"/>
    <w:rsid w:val="17D52AB0"/>
    <w:rsid w:val="18463A18"/>
    <w:rsid w:val="1A5B6E37"/>
    <w:rsid w:val="1A6F27E2"/>
    <w:rsid w:val="1C20109B"/>
    <w:rsid w:val="1C2F2A35"/>
    <w:rsid w:val="1E6E5518"/>
    <w:rsid w:val="1F635436"/>
    <w:rsid w:val="20CA3F6B"/>
    <w:rsid w:val="210B357F"/>
    <w:rsid w:val="212A05A1"/>
    <w:rsid w:val="2245215C"/>
    <w:rsid w:val="23513A5B"/>
    <w:rsid w:val="2578628D"/>
    <w:rsid w:val="259432D3"/>
    <w:rsid w:val="28442410"/>
    <w:rsid w:val="2B822169"/>
    <w:rsid w:val="2BD47C57"/>
    <w:rsid w:val="2C73544F"/>
    <w:rsid w:val="2D002E76"/>
    <w:rsid w:val="2F115E24"/>
    <w:rsid w:val="30367B34"/>
    <w:rsid w:val="3197669C"/>
    <w:rsid w:val="33907C2B"/>
    <w:rsid w:val="34450B3B"/>
    <w:rsid w:val="358722B9"/>
    <w:rsid w:val="360157C4"/>
    <w:rsid w:val="378D02C6"/>
    <w:rsid w:val="3BC76D61"/>
    <w:rsid w:val="3BCE78BC"/>
    <w:rsid w:val="3D0F1823"/>
    <w:rsid w:val="3D390330"/>
    <w:rsid w:val="3DA51DFE"/>
    <w:rsid w:val="412E2093"/>
    <w:rsid w:val="4400059A"/>
    <w:rsid w:val="45BD0645"/>
    <w:rsid w:val="49424AC6"/>
    <w:rsid w:val="4BCE09C3"/>
    <w:rsid w:val="4C5447EB"/>
    <w:rsid w:val="4CA018CB"/>
    <w:rsid w:val="4EAF4FFC"/>
    <w:rsid w:val="4F1F0A1B"/>
    <w:rsid w:val="52832AE3"/>
    <w:rsid w:val="55E13FF6"/>
    <w:rsid w:val="58E217D3"/>
    <w:rsid w:val="59CD0D33"/>
    <w:rsid w:val="5D5F0AE4"/>
    <w:rsid w:val="5E306CAE"/>
    <w:rsid w:val="5ED36D4C"/>
    <w:rsid w:val="5FA42029"/>
    <w:rsid w:val="60550AC4"/>
    <w:rsid w:val="63D82875"/>
    <w:rsid w:val="64116A92"/>
    <w:rsid w:val="649A1CE4"/>
    <w:rsid w:val="6E454E6A"/>
    <w:rsid w:val="6EE46C82"/>
    <w:rsid w:val="6F21475E"/>
    <w:rsid w:val="70F61847"/>
    <w:rsid w:val="72C65D09"/>
    <w:rsid w:val="72C73A60"/>
    <w:rsid w:val="782E64AD"/>
    <w:rsid w:val="7BD91570"/>
    <w:rsid w:val="7CAC1743"/>
    <w:rsid w:val="7D0D55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kern w:val="2"/>
      <w:sz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lenovo7</cp:lastModifiedBy>
  <cp:lastPrinted>2021-04-20T02:25:00Z</cp:lastPrinted>
  <dcterms:modified xsi:type="dcterms:W3CDTF">2021-04-21T03:03:49Z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